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R4-2006013</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宋体" w:cs="Arial"/>
          <w:b/>
          <w:bCs/>
          <w:sz w:val="24"/>
          <w:lang w:val="en-US" w:eastAsia="zh-CN"/>
        </w:rPr>
        <w:t>on uplink transmit timing requirements for NR-U</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 xml:space="preserve">In RAN4 94-e-bis, the agreement captured in WF [1] was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numPr>
                <w:ilvl w:val="0"/>
                <w:numId w:val="0"/>
              </w:numPr>
              <w:overflowPunct w:val="0"/>
              <w:autoSpaceDE w:val="0"/>
              <w:autoSpaceDN w:val="0"/>
              <w:adjustRightInd w:val="0"/>
              <w:spacing w:after="0" w:line="240" w:lineRule="auto"/>
              <w:jc w:val="center"/>
              <w:rPr>
                <w:rFonts w:hint="default" w:eastAsia="宋体"/>
                <w:sz w:val="22"/>
                <w:szCs w:val="22"/>
                <w:vertAlign w:val="baseline"/>
                <w:lang w:val="en-US" w:eastAsia="zh-CN"/>
              </w:rPr>
            </w:pPr>
            <w:r>
              <w:drawing>
                <wp:inline distT="0" distB="0" distL="114300" distR="114300">
                  <wp:extent cx="5663565" cy="1876425"/>
                  <wp:effectExtent l="0" t="0" r="1333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663565" cy="1876425"/>
                          </a:xfrm>
                          <a:prstGeom prst="rect">
                            <a:avLst/>
                          </a:prstGeom>
                          <a:noFill/>
                          <a:ln>
                            <a:noFill/>
                          </a:ln>
                        </pic:spPr>
                      </pic:pic>
                    </a:graphicData>
                  </a:graphic>
                </wp:inline>
              </w:drawing>
            </w:r>
          </w:p>
        </w:tc>
      </w:tr>
    </w:tbl>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Another issue was related to an endorsed CR [3]:</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843" w:type="dxa"/>
          </w:tcPr>
          <w:p>
            <w:pPr>
              <w:pStyle w:val="62"/>
              <w:jc w:val="left"/>
              <w:rPr>
                <w:rFonts w:ascii="Times New Roman" w:hAnsi="Times New Roman"/>
                <w:b w:val="0"/>
                <w:lang w:eastAsia="ko-KR"/>
              </w:rPr>
            </w:pPr>
            <w:r>
              <w:rPr>
                <w:rFonts w:ascii="Times New Roman" w:hAnsi="Times New Roman"/>
                <w:b w:val="0"/>
                <w:lang w:eastAsia="ko-KR"/>
              </w:rPr>
              <w:t xml:space="preserve">If a reference cell on a carrier frequency belonging to the PTAG, which is subject to CCA, is unavailable at the UE for more than 160 ms then the UE [is allowed or shall] use any of available activated SCell(s) at the UE in PTAG as a new reference cell. </w:t>
            </w:r>
          </w:p>
          <w:p>
            <w:pPr>
              <w:numPr>
                <w:ilvl w:val="0"/>
                <w:numId w:val="0"/>
              </w:numPr>
              <w:overflowPunct w:val="0"/>
              <w:autoSpaceDE w:val="0"/>
              <w:autoSpaceDN w:val="0"/>
              <w:adjustRightInd w:val="0"/>
              <w:spacing w:after="0" w:line="240" w:lineRule="auto"/>
              <w:jc w:val="both"/>
              <w:rPr>
                <w:rFonts w:hint="default" w:eastAsia="宋体"/>
                <w:sz w:val="22"/>
                <w:szCs w:val="22"/>
                <w:vertAlign w:val="baseline"/>
                <w:lang w:val="en-US" w:eastAsia="zh-CN"/>
              </w:rPr>
            </w:pPr>
            <w:r>
              <w:rPr>
                <w:rFonts w:ascii="Times New Roman" w:hAnsi="Times New Roman"/>
                <w:b w:val="0"/>
                <w:lang w:eastAsia="ko-KR"/>
              </w:rPr>
              <w:t>If a reference cell on a carrier frequency belonging to the STAG, which is subject to CCA is unavailable at the UE for more than 160 ms then the UE [is allowed or shall] use any of available activated SCell(s) at the UE in STAG as a new reference cell.</w:t>
            </w: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p>
    <w:p>
      <w:pPr>
        <w:numPr>
          <w:ilvl w:val="0"/>
          <w:numId w:val="0"/>
        </w:numPr>
        <w:overflowPunct w:val="0"/>
        <w:autoSpaceDE w:val="0"/>
        <w:autoSpaceDN w:val="0"/>
        <w:adjustRightInd w:val="0"/>
        <w:spacing w:after="0" w:line="240" w:lineRule="auto"/>
        <w:jc w:val="both"/>
        <w:rPr>
          <w:rFonts w:hint="eastAsia"/>
          <w:sz w:val="22"/>
          <w:szCs w:val="22"/>
          <w:lang w:val="en-US" w:eastAsia="zh-CN"/>
        </w:rPr>
      </w:pPr>
      <w:r>
        <w:rPr>
          <w:rFonts w:hint="eastAsia" w:eastAsia="宋体"/>
          <w:sz w:val="22"/>
          <w:szCs w:val="22"/>
          <w:lang w:val="en-US" w:eastAsia="zh-CN"/>
        </w:rPr>
        <w:t>In this paper, we tend to discuss these issues and provide our view.</w:t>
      </w:r>
    </w:p>
    <w:p>
      <w:pPr>
        <w:pStyle w:val="27"/>
        <w:jc w:val="both"/>
        <w:rPr>
          <w:rFonts w:hint="default"/>
          <w:lang w:val="en-US" w:eastAsia="zh-CN"/>
        </w:rPr>
      </w:pPr>
      <w:r>
        <w:rPr>
          <w:rFonts w:hint="eastAsia"/>
          <w:lang w:val="en-US" w:eastAsia="zh-CN"/>
        </w:rPr>
        <w:t>2</w:t>
      </w:r>
      <w:r>
        <w:tab/>
      </w:r>
      <w:r>
        <w:rPr>
          <w:rFonts w:hint="eastAsia"/>
          <w:lang w:val="en-US" w:eastAsia="zh-CN"/>
        </w:rPr>
        <w:t>Discussion</w:t>
      </w:r>
    </w:p>
    <w:p>
      <w:pPr>
        <w:rPr>
          <w:rFonts w:hint="default"/>
          <w:sz w:val="22"/>
          <w:szCs w:val="22"/>
          <w:lang w:val="en-US" w:eastAsia="zh-CN"/>
        </w:rPr>
      </w:pPr>
      <w:r>
        <w:rPr>
          <w:rFonts w:hint="eastAsia"/>
          <w:sz w:val="22"/>
          <w:szCs w:val="22"/>
          <w:lang w:val="en-US" w:eastAsia="zh-CN"/>
        </w:rPr>
        <w:t>After giving the background of discussions, we discuss Option 1. Given the requirement in TS 38.133 [2] copied below, we think the uplink transmit timing requirements should be kept the same as on licensed bands. This is because the uplink transmit timing accuracy relies on the UE timer accuracy which is the same under licensed- and unlicensed-band scenarios.</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pPr>
              <w:ind w:left="568" w:hanging="284"/>
            </w:pPr>
            <w:r>
              <w:rPr>
                <w:lang w:eastAsia="ko-KR"/>
              </w:rPr>
              <w:t>-</w:t>
            </w:r>
            <w:r>
              <w:rPr>
                <w:lang w:eastAsia="ko-KR"/>
              </w:rPr>
              <w:tab/>
            </w:r>
            <w:r>
              <w:t>when it is the first transmission in a DRX cycle for PUCCH, PUSCH and SRS or it is the PRACH transmission.</w:t>
            </w:r>
          </w:p>
          <w:p>
            <w:pPr>
              <w:rPr>
                <w:rFonts w:hint="default"/>
                <w:sz w:val="22"/>
                <w:szCs w:val="22"/>
                <w:vertAlign w:val="baseline"/>
                <w:lang w:val="en-US" w:eastAsia="zh-CN"/>
              </w:rPr>
            </w:pPr>
            <w:r>
              <w:rPr>
                <w:rFonts w:cs="v4.2.0"/>
                <w:highlight w:val="green"/>
              </w:rPr>
              <w:t>The UE shall meet the Te requirement for an initial transmission provided that at least one SSB is available at the UE during the last 160 ms.</w:t>
            </w:r>
            <w:r>
              <w:rPr>
                <w:rFonts w:cs="v4.2.0"/>
              </w:rPr>
              <w:t xml:space="preserve"> The reference point for the UE initial transmit timing control requirement shall be the downlink timing of the reference cell minus </w:t>
            </w:r>
            <w:r>
              <w:rPr>
                <w:position w:val="-10"/>
                <w:lang w:val="en-US" w:eastAsia="zh-CN"/>
              </w:rPr>
              <w:drawing>
                <wp:inline distT="0" distB="0" distL="0" distR="0">
                  <wp:extent cx="1145540" cy="187960"/>
                  <wp:effectExtent l="0" t="0" r="16510"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The downlink timing is defined as the time when the first detected path (in time) of the corresponding downlink frame is received </w:t>
            </w:r>
            <w:r>
              <w:t xml:space="preserve">from the reference cell. </w:t>
            </w:r>
            <w:r>
              <w:rPr>
                <w:rFonts w:cs="v4.2.0"/>
                <w:i/>
              </w:rPr>
              <w:t>N</w:t>
            </w:r>
            <w:r>
              <w:rPr>
                <w:rFonts w:cs="v4.2.0"/>
                <w:vertAlign w:val="subscript"/>
              </w:rPr>
              <w:t>TA</w:t>
            </w:r>
            <w:r>
              <w:rPr>
                <w:rFonts w:cs="v4.2.0"/>
              </w:rPr>
              <w:t xml:space="preserve"> for PRACH is defined as 0.</w:t>
            </w:r>
          </w:p>
        </w:tc>
      </w:tr>
    </w:tbl>
    <w:p>
      <w:pPr>
        <w:rPr>
          <w:rFonts w:hint="default"/>
          <w:sz w:val="22"/>
          <w:szCs w:val="22"/>
          <w:lang w:val="en-US" w:eastAsia="zh-CN"/>
        </w:rPr>
      </w:pPr>
    </w:p>
    <w:p>
      <w:pPr>
        <w:pStyle w:val="35"/>
        <w:rPr>
          <w:rFonts w:hint="default"/>
          <w:sz w:val="22"/>
          <w:szCs w:val="22"/>
          <w:lang w:val="en-US" w:eastAsia="zh-CN"/>
        </w:rPr>
      </w:pPr>
      <w:r>
        <w:rPr>
          <w:rFonts w:hint="eastAsia" w:eastAsia="宋体"/>
          <w:sz w:val="22"/>
          <w:szCs w:val="22"/>
          <w:lang w:val="en-US" w:eastAsia="zh-CN"/>
        </w:rPr>
        <w:t>At least one SSB shall be available at UE during last 160 ms.</w:t>
      </w:r>
    </w:p>
    <w:p>
      <w:pPr>
        <w:rPr>
          <w:rFonts w:hint="eastAsia" w:eastAsia="宋体"/>
          <w:sz w:val="22"/>
          <w:szCs w:val="22"/>
          <w:lang w:val="en-US" w:eastAsia="zh-CN"/>
        </w:rPr>
      </w:pPr>
      <w:r>
        <w:rPr>
          <w:rFonts w:hint="eastAsia" w:eastAsia="宋体"/>
          <w:sz w:val="22"/>
          <w:szCs w:val="22"/>
          <w:lang w:val="en-US" w:eastAsia="zh-CN"/>
        </w:rPr>
        <w:t xml:space="preserve">As to the brackets in the CR, we think it can be left to UE implementation. After all there is the requirement that the UE can only transmit in UL shall it fulfill the Te requirement. Thus, we propose to change the wording in the CR to: </w:t>
      </w:r>
      <w:r>
        <w:rPr>
          <w:rFonts w:hint="default" w:eastAsia="宋体"/>
          <w:sz w:val="22"/>
          <w:szCs w:val="22"/>
          <w:lang w:val="en-US" w:eastAsia="zh-CN"/>
        </w:rPr>
        <w:t>“</w:t>
      </w:r>
      <w:r>
        <w:rPr>
          <w:rFonts w:hint="eastAsia" w:eastAsia="宋体"/>
          <w:sz w:val="22"/>
          <w:szCs w:val="22"/>
          <w:lang w:val="en-US" w:eastAsia="zh-CN"/>
        </w:rPr>
        <w:t>the UE is allowed to</w:t>
      </w:r>
      <w:r>
        <w:rPr>
          <w:rFonts w:hint="default" w:eastAsia="宋体"/>
          <w:sz w:val="22"/>
          <w:szCs w:val="22"/>
          <w:lang w:val="en-US" w:eastAsia="zh-CN"/>
        </w:rPr>
        <w:t>”</w:t>
      </w:r>
      <w:r>
        <w:rPr>
          <w:rFonts w:hint="eastAsia" w:eastAsia="宋体"/>
          <w:sz w:val="22"/>
          <w:szCs w:val="22"/>
          <w:lang w:val="en-US" w:eastAsia="zh-CN"/>
        </w:rPr>
        <w:t>.</w:t>
      </w:r>
    </w:p>
    <w:p>
      <w:pPr>
        <w:pStyle w:val="35"/>
        <w:rPr>
          <w:rFonts w:hint="default" w:eastAsia="宋体"/>
          <w:b/>
          <w:bCs w:val="0"/>
          <w:sz w:val="22"/>
          <w:szCs w:val="22"/>
          <w:lang w:val="en-US" w:eastAsia="zh-CN"/>
        </w:rPr>
      </w:pPr>
      <w:r>
        <w:rPr>
          <w:rFonts w:hint="eastAsia" w:eastAsia="宋体"/>
          <w:b/>
          <w:bCs w:val="0"/>
          <w:sz w:val="22"/>
          <w:szCs w:val="22"/>
          <w:lang w:val="en-US" w:eastAsia="zh-CN"/>
        </w:rPr>
        <w:t xml:space="preserve">If the current timing reference cell </w:t>
      </w:r>
      <w:r>
        <w:rPr>
          <w:rFonts w:ascii="Times New Roman" w:hAnsi="Times New Roman"/>
          <w:b/>
          <w:bCs w:val="0"/>
          <w:lang w:eastAsia="ko-KR"/>
        </w:rPr>
        <w:t xml:space="preserve">is unavailable at the UE for more than 160 ms then the UE is allowed </w:t>
      </w:r>
      <w:r>
        <w:rPr>
          <w:rFonts w:hint="eastAsia" w:eastAsia="宋体"/>
          <w:b/>
          <w:bCs w:val="0"/>
          <w:lang w:val="en-US" w:eastAsia="zh-CN"/>
        </w:rPr>
        <w:t>to</w:t>
      </w:r>
      <w:r>
        <w:rPr>
          <w:rFonts w:ascii="Times New Roman" w:hAnsi="Times New Roman"/>
          <w:b/>
          <w:bCs w:val="0"/>
          <w:lang w:eastAsia="ko-KR"/>
        </w:rPr>
        <w:t xml:space="preserve"> use any of available activated SCell(s) at the UE in STAG as a new reference cell.</w:t>
      </w:r>
    </w:p>
    <w:p>
      <w:pPr>
        <w:pStyle w:val="27"/>
        <w:jc w:val="both"/>
      </w:pPr>
      <w:r>
        <w:rPr>
          <w:rFonts w:hint="eastAsia"/>
          <w:lang w:val="en-US" w:eastAsia="zh-CN"/>
        </w:rPr>
        <w:t>3</w:t>
      </w:r>
      <w:r>
        <w:tab/>
      </w:r>
      <w:r>
        <w:t>Conclusion</w:t>
      </w:r>
    </w:p>
    <w:p>
      <w:pPr>
        <w:pStyle w:val="35"/>
        <w:numPr>
          <w:ilvl w:val="0"/>
          <w:numId w:val="0"/>
        </w:numPr>
        <w:ind w:leftChars="0"/>
        <w:rPr>
          <w:rFonts w:hint="eastAsia" w:eastAsia="宋体"/>
          <w:b/>
          <w:bCs w:val="0"/>
          <w:color w:val="auto"/>
          <w:sz w:val="22"/>
          <w:szCs w:val="22"/>
          <w:lang w:val="en-US" w:eastAsia="zh-CN"/>
        </w:rPr>
      </w:pPr>
      <w:r>
        <w:rPr>
          <w:rFonts w:hint="eastAsia"/>
          <w:sz w:val="22"/>
          <w:szCs w:val="22"/>
          <w:lang w:val="en-US" w:eastAsia="zh-CN"/>
        </w:rPr>
        <w:t xml:space="preserve">Proposal 1: </w:t>
      </w:r>
      <w:r>
        <w:rPr>
          <w:rFonts w:hint="eastAsia" w:eastAsia="宋体"/>
          <w:sz w:val="22"/>
          <w:szCs w:val="22"/>
          <w:lang w:val="en-US" w:eastAsia="zh-CN"/>
        </w:rPr>
        <w:t>At least one SSB shall be available at UE during last 160 ms</w:t>
      </w:r>
      <w:r>
        <w:rPr>
          <w:rFonts w:hint="eastAsia" w:eastAsia="宋体"/>
          <w:b/>
          <w:bCs w:val="0"/>
          <w:color w:val="auto"/>
          <w:sz w:val="22"/>
          <w:szCs w:val="22"/>
          <w:lang w:val="en-US" w:eastAsia="zh-CN"/>
        </w:rPr>
        <w:t>.</w:t>
      </w:r>
    </w:p>
    <w:p>
      <w:pPr>
        <w:pStyle w:val="35"/>
        <w:numPr>
          <w:numId w:val="0"/>
        </w:numPr>
        <w:ind w:leftChars="0"/>
        <w:rPr>
          <w:rFonts w:hint="default"/>
          <w:lang w:val="en-US" w:eastAsia="zh-CN"/>
        </w:rPr>
      </w:pPr>
      <w:r>
        <w:rPr>
          <w:rFonts w:hint="eastAsia"/>
          <w:sz w:val="22"/>
          <w:szCs w:val="22"/>
          <w:lang w:val="en-US" w:eastAsia="zh-CN"/>
        </w:rPr>
        <w:t xml:space="preserve">Proposal 2: </w:t>
      </w:r>
      <w:r>
        <w:rPr>
          <w:rFonts w:hint="eastAsia" w:eastAsia="宋体"/>
          <w:b/>
          <w:bCs w:val="0"/>
          <w:sz w:val="22"/>
          <w:szCs w:val="22"/>
          <w:lang w:val="en-US" w:eastAsia="zh-CN"/>
        </w:rPr>
        <w:t xml:space="preserve">If the current timing reference cell </w:t>
      </w:r>
      <w:r>
        <w:rPr>
          <w:rFonts w:ascii="Times New Roman" w:hAnsi="Times New Roman"/>
          <w:b/>
          <w:bCs w:val="0"/>
          <w:lang w:eastAsia="ko-KR"/>
        </w:rPr>
        <w:t xml:space="preserve">is unavailable at the UE for more than 160 ms then the UE is allowed </w:t>
      </w:r>
      <w:r>
        <w:rPr>
          <w:rFonts w:hint="eastAsia" w:eastAsia="宋体"/>
          <w:b/>
          <w:bCs w:val="0"/>
          <w:lang w:val="en-US" w:eastAsia="zh-CN"/>
        </w:rPr>
        <w:t>to</w:t>
      </w:r>
      <w:r>
        <w:rPr>
          <w:rFonts w:ascii="Times New Roman" w:hAnsi="Times New Roman"/>
          <w:b/>
          <w:bCs w:val="0"/>
          <w:lang w:eastAsia="ko-KR"/>
        </w:rPr>
        <w:t xml:space="preserve"> use any of available activated SCell(s) at the UE in STAG as a new reference cell.</w:t>
      </w:r>
      <w:bookmarkStart w:id="5" w:name="_GoBack"/>
      <w:bookmarkEnd w:id="5"/>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R4-2005367</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TS 38.133</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R4-2005374</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580F34"/>
    <w:rsid w:val="02B274E2"/>
    <w:rsid w:val="02C25D33"/>
    <w:rsid w:val="03C6506D"/>
    <w:rsid w:val="03F37217"/>
    <w:rsid w:val="04C77D0A"/>
    <w:rsid w:val="04D5204C"/>
    <w:rsid w:val="054E46AE"/>
    <w:rsid w:val="059B61E4"/>
    <w:rsid w:val="05A86143"/>
    <w:rsid w:val="06105DAC"/>
    <w:rsid w:val="069766CC"/>
    <w:rsid w:val="073B0F19"/>
    <w:rsid w:val="07502CA2"/>
    <w:rsid w:val="078B76F8"/>
    <w:rsid w:val="079D410C"/>
    <w:rsid w:val="080661C8"/>
    <w:rsid w:val="08641205"/>
    <w:rsid w:val="0868025F"/>
    <w:rsid w:val="0873226E"/>
    <w:rsid w:val="08935729"/>
    <w:rsid w:val="08C12AF6"/>
    <w:rsid w:val="08C654D4"/>
    <w:rsid w:val="08CC5D10"/>
    <w:rsid w:val="092C45E6"/>
    <w:rsid w:val="099F556C"/>
    <w:rsid w:val="09C640C3"/>
    <w:rsid w:val="0A5763D4"/>
    <w:rsid w:val="0A7BF868"/>
    <w:rsid w:val="0B2F05F5"/>
    <w:rsid w:val="0B7322DC"/>
    <w:rsid w:val="0BB77882"/>
    <w:rsid w:val="0C3C5307"/>
    <w:rsid w:val="0C56263C"/>
    <w:rsid w:val="0C5E2B8A"/>
    <w:rsid w:val="0D102274"/>
    <w:rsid w:val="0DA958CA"/>
    <w:rsid w:val="0DF104D3"/>
    <w:rsid w:val="0E1C586B"/>
    <w:rsid w:val="0E5237AB"/>
    <w:rsid w:val="0ED138E6"/>
    <w:rsid w:val="0EED584B"/>
    <w:rsid w:val="0F67780F"/>
    <w:rsid w:val="0F8F3C2A"/>
    <w:rsid w:val="0FB648CB"/>
    <w:rsid w:val="0FD0731A"/>
    <w:rsid w:val="0FF1533A"/>
    <w:rsid w:val="0FFE0AFA"/>
    <w:rsid w:val="100A1E0B"/>
    <w:rsid w:val="10AA3C13"/>
    <w:rsid w:val="10CD0B75"/>
    <w:rsid w:val="110C4D24"/>
    <w:rsid w:val="122017FC"/>
    <w:rsid w:val="128409CA"/>
    <w:rsid w:val="12BB3A94"/>
    <w:rsid w:val="12EF585C"/>
    <w:rsid w:val="13262572"/>
    <w:rsid w:val="136D11EC"/>
    <w:rsid w:val="137D50D6"/>
    <w:rsid w:val="138E4C2B"/>
    <w:rsid w:val="139B3B65"/>
    <w:rsid w:val="13D36053"/>
    <w:rsid w:val="13F75352"/>
    <w:rsid w:val="1480544B"/>
    <w:rsid w:val="14B36B91"/>
    <w:rsid w:val="152811FD"/>
    <w:rsid w:val="164F667E"/>
    <w:rsid w:val="165D0583"/>
    <w:rsid w:val="16654289"/>
    <w:rsid w:val="16A62C82"/>
    <w:rsid w:val="16DB79C9"/>
    <w:rsid w:val="17141F2D"/>
    <w:rsid w:val="17A076C4"/>
    <w:rsid w:val="17A62BCE"/>
    <w:rsid w:val="17E826AB"/>
    <w:rsid w:val="18D3414F"/>
    <w:rsid w:val="18D91924"/>
    <w:rsid w:val="19A96435"/>
    <w:rsid w:val="1A0B3A21"/>
    <w:rsid w:val="1AB42A6C"/>
    <w:rsid w:val="1B3329B5"/>
    <w:rsid w:val="1B7F155B"/>
    <w:rsid w:val="1C6A6128"/>
    <w:rsid w:val="1D1F1294"/>
    <w:rsid w:val="1D3267EF"/>
    <w:rsid w:val="1E8806BC"/>
    <w:rsid w:val="1EA137E3"/>
    <w:rsid w:val="1F0936F5"/>
    <w:rsid w:val="1F17474D"/>
    <w:rsid w:val="1F2B10F9"/>
    <w:rsid w:val="1F711839"/>
    <w:rsid w:val="1F7D0BBA"/>
    <w:rsid w:val="200D067C"/>
    <w:rsid w:val="20811B82"/>
    <w:rsid w:val="20A662B2"/>
    <w:rsid w:val="21091739"/>
    <w:rsid w:val="211451D0"/>
    <w:rsid w:val="2151075A"/>
    <w:rsid w:val="219E74A3"/>
    <w:rsid w:val="21D800D6"/>
    <w:rsid w:val="220539DF"/>
    <w:rsid w:val="22571B82"/>
    <w:rsid w:val="22920D1D"/>
    <w:rsid w:val="22C0245E"/>
    <w:rsid w:val="23514077"/>
    <w:rsid w:val="23855295"/>
    <w:rsid w:val="23B20773"/>
    <w:rsid w:val="23CF6D67"/>
    <w:rsid w:val="24044CC6"/>
    <w:rsid w:val="248F188B"/>
    <w:rsid w:val="24E91488"/>
    <w:rsid w:val="25077EC5"/>
    <w:rsid w:val="25151459"/>
    <w:rsid w:val="25962669"/>
    <w:rsid w:val="25C20278"/>
    <w:rsid w:val="262D62D9"/>
    <w:rsid w:val="26681CAB"/>
    <w:rsid w:val="267E5FCE"/>
    <w:rsid w:val="27572E0B"/>
    <w:rsid w:val="280C272A"/>
    <w:rsid w:val="28352D10"/>
    <w:rsid w:val="284E33F7"/>
    <w:rsid w:val="287A3770"/>
    <w:rsid w:val="293606FA"/>
    <w:rsid w:val="29517179"/>
    <w:rsid w:val="29842002"/>
    <w:rsid w:val="29E7086A"/>
    <w:rsid w:val="2A1219AD"/>
    <w:rsid w:val="2A394321"/>
    <w:rsid w:val="2AE26D3F"/>
    <w:rsid w:val="2AF8774D"/>
    <w:rsid w:val="2B0F6E62"/>
    <w:rsid w:val="2B4E55E6"/>
    <w:rsid w:val="2B7579C5"/>
    <w:rsid w:val="2BB04900"/>
    <w:rsid w:val="2C3A3275"/>
    <w:rsid w:val="2C495744"/>
    <w:rsid w:val="2CAF041D"/>
    <w:rsid w:val="2CEE6B8D"/>
    <w:rsid w:val="2D233DAE"/>
    <w:rsid w:val="2D8E403A"/>
    <w:rsid w:val="2E0770FA"/>
    <w:rsid w:val="2E145F76"/>
    <w:rsid w:val="2EA86D09"/>
    <w:rsid w:val="2F32226B"/>
    <w:rsid w:val="2F376D10"/>
    <w:rsid w:val="2FA231C5"/>
    <w:rsid w:val="308B65F2"/>
    <w:rsid w:val="31113C4F"/>
    <w:rsid w:val="3117229F"/>
    <w:rsid w:val="31395268"/>
    <w:rsid w:val="31950F1B"/>
    <w:rsid w:val="31A50177"/>
    <w:rsid w:val="320F0A18"/>
    <w:rsid w:val="32351CB2"/>
    <w:rsid w:val="324554E5"/>
    <w:rsid w:val="325D2B5A"/>
    <w:rsid w:val="327661FC"/>
    <w:rsid w:val="3288676B"/>
    <w:rsid w:val="32B33B5A"/>
    <w:rsid w:val="32EE27B2"/>
    <w:rsid w:val="33245EFA"/>
    <w:rsid w:val="33372789"/>
    <w:rsid w:val="333876C2"/>
    <w:rsid w:val="33484A1E"/>
    <w:rsid w:val="335A6E4A"/>
    <w:rsid w:val="335F47E9"/>
    <w:rsid w:val="346E4104"/>
    <w:rsid w:val="3476470C"/>
    <w:rsid w:val="34D83C16"/>
    <w:rsid w:val="3509315E"/>
    <w:rsid w:val="351A4CC6"/>
    <w:rsid w:val="37705F34"/>
    <w:rsid w:val="377700B0"/>
    <w:rsid w:val="37846083"/>
    <w:rsid w:val="37AF7036"/>
    <w:rsid w:val="380927B5"/>
    <w:rsid w:val="3876150B"/>
    <w:rsid w:val="392739EA"/>
    <w:rsid w:val="392D38AD"/>
    <w:rsid w:val="3946679B"/>
    <w:rsid w:val="399A43EA"/>
    <w:rsid w:val="3A0F1960"/>
    <w:rsid w:val="3A166029"/>
    <w:rsid w:val="3A364B42"/>
    <w:rsid w:val="3AF216E5"/>
    <w:rsid w:val="3B30671A"/>
    <w:rsid w:val="3B5662AC"/>
    <w:rsid w:val="3C727D51"/>
    <w:rsid w:val="3C8E4E65"/>
    <w:rsid w:val="3CCE203C"/>
    <w:rsid w:val="3D0C1655"/>
    <w:rsid w:val="3D4E48C8"/>
    <w:rsid w:val="3D77737D"/>
    <w:rsid w:val="3DC04E13"/>
    <w:rsid w:val="3DD244E7"/>
    <w:rsid w:val="3E1907C2"/>
    <w:rsid w:val="3E5B41D6"/>
    <w:rsid w:val="3ECE16FA"/>
    <w:rsid w:val="3F072EB0"/>
    <w:rsid w:val="3FF55768"/>
    <w:rsid w:val="40566CBF"/>
    <w:rsid w:val="405B0BEF"/>
    <w:rsid w:val="407921CE"/>
    <w:rsid w:val="40C04FE0"/>
    <w:rsid w:val="41AA7137"/>
    <w:rsid w:val="41EC58FB"/>
    <w:rsid w:val="42381A71"/>
    <w:rsid w:val="426B0C9E"/>
    <w:rsid w:val="42841694"/>
    <w:rsid w:val="429266C7"/>
    <w:rsid w:val="42AF1322"/>
    <w:rsid w:val="42B30ACF"/>
    <w:rsid w:val="42E73C10"/>
    <w:rsid w:val="430903EA"/>
    <w:rsid w:val="43901FC8"/>
    <w:rsid w:val="43EE582E"/>
    <w:rsid w:val="43FB3DA4"/>
    <w:rsid w:val="44022066"/>
    <w:rsid w:val="441C4006"/>
    <w:rsid w:val="44400DF8"/>
    <w:rsid w:val="44707FDB"/>
    <w:rsid w:val="449E489D"/>
    <w:rsid w:val="44B24294"/>
    <w:rsid w:val="451019FB"/>
    <w:rsid w:val="45102C38"/>
    <w:rsid w:val="455B13AC"/>
    <w:rsid w:val="45CF3CD0"/>
    <w:rsid w:val="460567D8"/>
    <w:rsid w:val="462F25DF"/>
    <w:rsid w:val="46620161"/>
    <w:rsid w:val="47C304FD"/>
    <w:rsid w:val="47C357A6"/>
    <w:rsid w:val="47D77F02"/>
    <w:rsid w:val="487C3875"/>
    <w:rsid w:val="48977283"/>
    <w:rsid w:val="48FA3778"/>
    <w:rsid w:val="49896512"/>
    <w:rsid w:val="4996414B"/>
    <w:rsid w:val="49BA3D71"/>
    <w:rsid w:val="49DA5E42"/>
    <w:rsid w:val="4A5C70F1"/>
    <w:rsid w:val="4AB61A05"/>
    <w:rsid w:val="4AF26B9D"/>
    <w:rsid w:val="4BB65435"/>
    <w:rsid w:val="4BCE1489"/>
    <w:rsid w:val="4BEA1EE4"/>
    <w:rsid w:val="4BFB2D49"/>
    <w:rsid w:val="4C293566"/>
    <w:rsid w:val="4C723787"/>
    <w:rsid w:val="4CF05EAC"/>
    <w:rsid w:val="4D102CB4"/>
    <w:rsid w:val="4D501A0F"/>
    <w:rsid w:val="4D9E609E"/>
    <w:rsid w:val="4E0243C8"/>
    <w:rsid w:val="4EA61F19"/>
    <w:rsid w:val="4EB053BD"/>
    <w:rsid w:val="4FBC6FAF"/>
    <w:rsid w:val="4FDC68F3"/>
    <w:rsid w:val="50005DA1"/>
    <w:rsid w:val="502A6272"/>
    <w:rsid w:val="5041435B"/>
    <w:rsid w:val="50564CCA"/>
    <w:rsid w:val="505A1CB0"/>
    <w:rsid w:val="50856CB0"/>
    <w:rsid w:val="509778C7"/>
    <w:rsid w:val="51773E2A"/>
    <w:rsid w:val="51C53170"/>
    <w:rsid w:val="5280421D"/>
    <w:rsid w:val="52BF27F0"/>
    <w:rsid w:val="52FC10E1"/>
    <w:rsid w:val="535E62F0"/>
    <w:rsid w:val="5361709F"/>
    <w:rsid w:val="53705401"/>
    <w:rsid w:val="53752E8D"/>
    <w:rsid w:val="53832E83"/>
    <w:rsid w:val="53C44BEA"/>
    <w:rsid w:val="53D45151"/>
    <w:rsid w:val="540D782C"/>
    <w:rsid w:val="542835DF"/>
    <w:rsid w:val="542F1421"/>
    <w:rsid w:val="544B51D2"/>
    <w:rsid w:val="544D013B"/>
    <w:rsid w:val="546C32BA"/>
    <w:rsid w:val="55352F87"/>
    <w:rsid w:val="5553143F"/>
    <w:rsid w:val="55B42DC5"/>
    <w:rsid w:val="55CC7E5B"/>
    <w:rsid w:val="56E81135"/>
    <w:rsid w:val="57B55C42"/>
    <w:rsid w:val="586B2608"/>
    <w:rsid w:val="58E20C36"/>
    <w:rsid w:val="592D7AE2"/>
    <w:rsid w:val="593554F0"/>
    <w:rsid w:val="5A3078C5"/>
    <w:rsid w:val="5AAC4CA7"/>
    <w:rsid w:val="5ADF3A74"/>
    <w:rsid w:val="5AE53367"/>
    <w:rsid w:val="5B0B0083"/>
    <w:rsid w:val="5BC0364C"/>
    <w:rsid w:val="5BC3228B"/>
    <w:rsid w:val="5C3B1FEA"/>
    <w:rsid w:val="5C626A6F"/>
    <w:rsid w:val="5C6A01BF"/>
    <w:rsid w:val="5D041ECD"/>
    <w:rsid w:val="5E2D4C21"/>
    <w:rsid w:val="5EE41E2E"/>
    <w:rsid w:val="5F0F00DA"/>
    <w:rsid w:val="60017F85"/>
    <w:rsid w:val="6045086B"/>
    <w:rsid w:val="60745B63"/>
    <w:rsid w:val="61051332"/>
    <w:rsid w:val="62302F88"/>
    <w:rsid w:val="62812953"/>
    <w:rsid w:val="62B7743E"/>
    <w:rsid w:val="64116858"/>
    <w:rsid w:val="648D5222"/>
    <w:rsid w:val="64B2258D"/>
    <w:rsid w:val="65997784"/>
    <w:rsid w:val="65C64C37"/>
    <w:rsid w:val="661E18B5"/>
    <w:rsid w:val="66AB371C"/>
    <w:rsid w:val="66AE1192"/>
    <w:rsid w:val="66C26880"/>
    <w:rsid w:val="66CA69C3"/>
    <w:rsid w:val="67DA4215"/>
    <w:rsid w:val="67E42DFA"/>
    <w:rsid w:val="680A09E1"/>
    <w:rsid w:val="6860443E"/>
    <w:rsid w:val="68EB3ADC"/>
    <w:rsid w:val="69462386"/>
    <w:rsid w:val="6A7016FE"/>
    <w:rsid w:val="6AFC6812"/>
    <w:rsid w:val="6B051C54"/>
    <w:rsid w:val="6B5E2EC6"/>
    <w:rsid w:val="6C42065A"/>
    <w:rsid w:val="6C6F44FD"/>
    <w:rsid w:val="6CD4731D"/>
    <w:rsid w:val="6D121910"/>
    <w:rsid w:val="6D3205F0"/>
    <w:rsid w:val="6D5F32FE"/>
    <w:rsid w:val="6DB702B4"/>
    <w:rsid w:val="6E504618"/>
    <w:rsid w:val="6EB20078"/>
    <w:rsid w:val="6F5579D7"/>
    <w:rsid w:val="6F801AF8"/>
    <w:rsid w:val="6F8D5AAE"/>
    <w:rsid w:val="6FA0159D"/>
    <w:rsid w:val="6FFF59CB"/>
    <w:rsid w:val="70160759"/>
    <w:rsid w:val="70200B37"/>
    <w:rsid w:val="7037013D"/>
    <w:rsid w:val="704E4A67"/>
    <w:rsid w:val="70995673"/>
    <w:rsid w:val="70AA0AC2"/>
    <w:rsid w:val="70EA7511"/>
    <w:rsid w:val="71143E21"/>
    <w:rsid w:val="72867A39"/>
    <w:rsid w:val="72EE3608"/>
    <w:rsid w:val="7327462F"/>
    <w:rsid w:val="732F59FD"/>
    <w:rsid w:val="734B5574"/>
    <w:rsid w:val="7355417D"/>
    <w:rsid w:val="736C3FBB"/>
    <w:rsid w:val="738469C2"/>
    <w:rsid w:val="73A85DC8"/>
    <w:rsid w:val="73C32C41"/>
    <w:rsid w:val="74573DE9"/>
    <w:rsid w:val="749900DE"/>
    <w:rsid w:val="74D53B99"/>
    <w:rsid w:val="754C1AAF"/>
    <w:rsid w:val="76991F3B"/>
    <w:rsid w:val="76D8737F"/>
    <w:rsid w:val="76E279D7"/>
    <w:rsid w:val="772E0626"/>
    <w:rsid w:val="7752184A"/>
    <w:rsid w:val="7754709D"/>
    <w:rsid w:val="776E285A"/>
    <w:rsid w:val="778E39CF"/>
    <w:rsid w:val="779E3171"/>
    <w:rsid w:val="77B02D8D"/>
    <w:rsid w:val="77C0093D"/>
    <w:rsid w:val="77C90B9C"/>
    <w:rsid w:val="78384CBC"/>
    <w:rsid w:val="784258BF"/>
    <w:rsid w:val="79366B52"/>
    <w:rsid w:val="793758F2"/>
    <w:rsid w:val="79DC6C3F"/>
    <w:rsid w:val="79ED4DBE"/>
    <w:rsid w:val="7A250260"/>
    <w:rsid w:val="7A787ECB"/>
    <w:rsid w:val="7A8B51CB"/>
    <w:rsid w:val="7AB507FA"/>
    <w:rsid w:val="7AC634CB"/>
    <w:rsid w:val="7C233DA1"/>
    <w:rsid w:val="7C3A7105"/>
    <w:rsid w:val="7C41564D"/>
    <w:rsid w:val="7C8E16C9"/>
    <w:rsid w:val="7CB561C0"/>
    <w:rsid w:val="7CCC277F"/>
    <w:rsid w:val="7CE3033A"/>
    <w:rsid w:val="7D0A2590"/>
    <w:rsid w:val="7D54493D"/>
    <w:rsid w:val="7D550752"/>
    <w:rsid w:val="7D6A7A29"/>
    <w:rsid w:val="7DCC5A45"/>
    <w:rsid w:val="7E521EA8"/>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2020-05-15T03:08:04Z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